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5C" w:rsidRPr="00D930E4" w:rsidRDefault="0077765C" w:rsidP="0077765C">
      <w:pPr>
        <w:jc w:val="center"/>
      </w:pPr>
      <w:r w:rsidRPr="00D930E4">
        <w:rPr>
          <w:rFonts w:hint="eastAsia"/>
        </w:rPr>
        <w:t xml:space="preserve">ほぼ週刊コラム　</w:t>
      </w:r>
      <w:r w:rsidRPr="00D930E4">
        <w:t>Partnership</w:t>
      </w:r>
      <w:r w:rsidRPr="00D930E4">
        <w:rPr>
          <w:rFonts w:hint="eastAsia"/>
        </w:rPr>
        <w:t>論　その１</w:t>
      </w:r>
      <w:r>
        <w:rPr>
          <w:rFonts w:hint="eastAsia"/>
        </w:rPr>
        <w:t>４</w:t>
      </w:r>
      <w:r>
        <w:rPr>
          <w:rFonts w:hint="eastAsia"/>
        </w:rPr>
        <w:t>５</w:t>
      </w:r>
    </w:p>
    <w:p w:rsidR="0077765C" w:rsidRPr="00D930E4" w:rsidRDefault="0077765C" w:rsidP="0077765C">
      <w:pPr>
        <w:jc w:val="center"/>
        <w:rPr>
          <w:b/>
        </w:rPr>
      </w:pPr>
      <w:r w:rsidRPr="00D930E4">
        <w:rPr>
          <w:rFonts w:hint="eastAsia"/>
          <w:b/>
        </w:rPr>
        <w:t>シリーズ：『米国</w:t>
      </w:r>
      <w:r w:rsidRPr="00D930E4">
        <w:rPr>
          <w:b/>
        </w:rPr>
        <w:t>Partnership</w:t>
      </w:r>
      <w:r w:rsidRPr="00D930E4">
        <w:rPr>
          <w:rFonts w:hint="eastAsia"/>
          <w:b/>
        </w:rPr>
        <w:t>税制勉強会』の振り返りと準備</w:t>
      </w:r>
    </w:p>
    <w:p w:rsidR="0077765C" w:rsidRPr="00D930E4" w:rsidRDefault="0077765C" w:rsidP="0077765C">
      <w:pPr>
        <w:jc w:val="center"/>
        <w:rPr>
          <w:b/>
        </w:rPr>
      </w:pPr>
      <w:r w:rsidRPr="00D930E4">
        <w:rPr>
          <w:rFonts w:hint="eastAsia"/>
          <w:b/>
        </w:rPr>
        <w:t>第十</w:t>
      </w:r>
      <w:r>
        <w:rPr>
          <w:rFonts w:hint="eastAsia"/>
          <w:b/>
        </w:rPr>
        <w:t>二</w:t>
      </w:r>
      <w:r w:rsidRPr="00D930E4">
        <w:rPr>
          <w:rFonts w:hint="eastAsia"/>
          <w:b/>
        </w:rPr>
        <w:t>回勉強会（</w:t>
      </w:r>
      <w:hyperlink r:id="rId7" w:history="1">
        <w:r w:rsidRPr="00AF538E">
          <w:rPr>
            <w:rFonts w:hint="eastAsia"/>
            <w:b/>
            <w:color w:val="0000FF"/>
            <w:u w:val="single"/>
          </w:rPr>
          <w:t>年</w:t>
        </w:r>
        <w:r w:rsidRPr="00AF538E">
          <w:rPr>
            <w:rFonts w:hint="eastAsia"/>
            <w:b/>
            <w:color w:val="0000FF"/>
            <w:u w:val="single"/>
          </w:rPr>
          <w:t>表</w:t>
        </w:r>
      </w:hyperlink>
      <w:r w:rsidRPr="00D930E4">
        <w:rPr>
          <w:rFonts w:hint="eastAsia"/>
          <w:b/>
        </w:rPr>
        <w:t>項目</w:t>
      </w:r>
      <w:r>
        <w:rPr>
          <w:rFonts w:hint="eastAsia"/>
          <w:b/>
        </w:rPr>
        <w:t>8</w:t>
      </w:r>
      <w:r w:rsidRPr="00D930E4">
        <w:rPr>
          <w:rFonts w:hint="eastAsia"/>
          <w:b/>
        </w:rPr>
        <w:t>：</w:t>
      </w:r>
      <w:r w:rsidRPr="00D930E4">
        <w:rPr>
          <w:b/>
        </w:rPr>
        <w:t>19</w:t>
      </w:r>
      <w:r>
        <w:rPr>
          <w:b/>
        </w:rPr>
        <w:t>86</w:t>
      </w:r>
      <w:r>
        <w:rPr>
          <w:rFonts w:hint="eastAsia"/>
          <w:b/>
        </w:rPr>
        <w:t>年</w:t>
      </w:r>
      <w:hyperlink r:id="rId8" w:history="1">
        <w:r w:rsidRPr="00D74DA0">
          <w:rPr>
            <w:rStyle w:val="a3"/>
            <w:b/>
          </w:rPr>
          <w:t>Economic Justice for All</w:t>
        </w:r>
      </w:hyperlink>
      <w:r>
        <w:rPr>
          <w:rFonts w:hint="eastAsia"/>
          <w:b/>
        </w:rPr>
        <w:t>出版）</w:t>
      </w:r>
      <w:r w:rsidRPr="00D930E4">
        <w:rPr>
          <w:rFonts w:hint="eastAsia"/>
          <w:b/>
        </w:rPr>
        <w:t>の</w:t>
      </w:r>
      <w:r>
        <w:rPr>
          <w:rFonts w:hint="eastAsia"/>
          <w:b/>
        </w:rPr>
        <w:t>準備</w:t>
      </w:r>
      <w:r w:rsidRPr="00D930E4">
        <w:rPr>
          <w:rFonts w:hint="eastAsia"/>
          <w:b/>
        </w:rPr>
        <w:t>（</w:t>
      </w:r>
      <w:r>
        <w:rPr>
          <w:rFonts w:hint="eastAsia"/>
          <w:b/>
        </w:rPr>
        <w:t>３</w:t>
      </w:r>
      <w:r w:rsidRPr="00D930E4">
        <w:rPr>
          <w:rFonts w:hint="eastAsia"/>
          <w:b/>
        </w:rPr>
        <w:t>）：</w:t>
      </w:r>
    </w:p>
    <w:p w:rsidR="0077765C" w:rsidRDefault="0077765C" w:rsidP="0077765C">
      <w:pPr>
        <w:jc w:val="center"/>
        <w:rPr>
          <w:rFonts w:hint="eastAsia"/>
          <w:b/>
        </w:rPr>
      </w:pPr>
      <w:r>
        <w:rPr>
          <w:b/>
        </w:rPr>
        <w:t>円安により、ドルで見た日本の</w:t>
      </w:r>
      <w:r>
        <w:rPr>
          <w:b/>
        </w:rPr>
        <w:t>GDP</w:t>
      </w:r>
      <w:r>
        <w:rPr>
          <w:b/>
        </w:rPr>
        <w:t>は急降下中。</w:t>
      </w:r>
    </w:p>
    <w:p w:rsidR="0077765C" w:rsidRPr="0071653D" w:rsidRDefault="0077765C" w:rsidP="0077765C">
      <w:pPr>
        <w:rPr>
          <w:b/>
        </w:rPr>
      </w:pPr>
    </w:p>
    <w:p w:rsidR="0077765C" w:rsidRDefault="0077765C" w:rsidP="0077765C">
      <w:pPr>
        <w:jc w:val="right"/>
        <w:rPr>
          <w:lang w:val="en"/>
        </w:rPr>
      </w:pPr>
      <w:r>
        <w:rPr>
          <w:rFonts w:hint="eastAsia"/>
          <w:lang w:val="en"/>
        </w:rPr>
        <w:t>2015.06.12</w:t>
      </w:r>
      <w:r>
        <w:rPr>
          <w:lang w:val="en"/>
        </w:rPr>
        <w:t xml:space="preserve"> rev.1 </w:t>
      </w:r>
      <w:r>
        <w:rPr>
          <w:lang w:val="en"/>
        </w:rPr>
        <w:t>齋藤旬</w:t>
      </w:r>
    </w:p>
    <w:p w:rsidR="0077765C" w:rsidRDefault="0077765C" w:rsidP="0077765C">
      <w:pPr>
        <w:ind w:firstLineChars="100" w:firstLine="211"/>
      </w:pPr>
      <w:r>
        <w:rPr>
          <w:rFonts w:hint="eastAsia"/>
          <w:b/>
        </w:rPr>
        <w:t>休刊予定だったが簡単なものを書く。年末恒例の</w:t>
      </w:r>
      <w:r>
        <w:rPr>
          <w:rFonts w:hint="eastAsia"/>
          <w:b/>
        </w:rPr>
        <w:t>GDP</w:t>
      </w:r>
      <w:r>
        <w:rPr>
          <w:rFonts w:hint="eastAsia"/>
          <w:b/>
        </w:rPr>
        <w:t>グラフを</w:t>
      </w:r>
      <w:r w:rsidR="00123B57">
        <w:rPr>
          <w:rFonts w:hint="eastAsia"/>
          <w:b/>
        </w:rPr>
        <w:t>異例だが</w:t>
      </w:r>
      <w:r>
        <w:rPr>
          <w:rFonts w:hint="eastAsia"/>
          <w:b/>
        </w:rPr>
        <w:t>更新することにした。</w:t>
      </w:r>
      <w:r>
        <w:rPr>
          <w:rFonts w:hint="eastAsia"/>
        </w:rPr>
        <w:t>今週月曜、「</w:t>
      </w:r>
      <w:r w:rsidRPr="0077765C">
        <w:rPr>
          <w:rFonts w:hint="eastAsia"/>
        </w:rPr>
        <w:t>内閣府が８日発表した２０１５年１─３月期実質国内総生産（ＧＤＰ）２次速報値は、１次速報値から予想以上に大幅な上方修正となった</w:t>
      </w:r>
      <w:r>
        <w:rPr>
          <w:rFonts w:hint="eastAsia"/>
        </w:rPr>
        <w:t>」と報じられたからだ。</w:t>
      </w:r>
    </w:p>
    <w:p w:rsidR="0077765C" w:rsidRDefault="0077765C" w:rsidP="0077765C">
      <w:pPr>
        <w:ind w:firstLineChars="100" w:firstLine="210"/>
      </w:pPr>
      <w:r>
        <w:t>「</w:t>
      </w:r>
      <w:r w:rsidR="0059126C">
        <w:t>円安により輸出を伸ばせるとみた製造業が設備投資を増やしたため」というのが</w:t>
      </w:r>
      <w:r w:rsidR="005B301E">
        <w:t>、この</w:t>
      </w:r>
      <w:r w:rsidR="005B301E">
        <w:t>GDP</w:t>
      </w:r>
      <w:r w:rsidR="005B301E">
        <w:t>上方修正</w:t>
      </w:r>
      <w:r w:rsidR="0059126C">
        <w:t>の背景にある。</w:t>
      </w:r>
      <w:r w:rsidR="005B301E">
        <w:t>つまり、</w:t>
      </w:r>
      <w:r w:rsidR="0059126C">
        <w:t>この円安誘導策の成否は、日本の製造業が</w:t>
      </w:r>
      <w:r w:rsidR="005B301E">
        <w:t>今後</w:t>
      </w:r>
      <w:r w:rsidR="0059126C">
        <w:t>本当に良いものを生み出す力がどれだけあるかにかかっている。即ち</w:t>
      </w:r>
      <w:r w:rsidR="005B301E">
        <w:t>海外の消費者から見ると、円安の今、日本製品を「安いから買う」のであって「本当に良いものだから買う」のではない。</w:t>
      </w:r>
      <w:r w:rsidR="003006FD">
        <w:t>だから、</w:t>
      </w:r>
      <w:r w:rsidR="005B301E">
        <w:t>製造業の設備投資が一巡し円安が収まったあと、新しく製造される日本製品が</w:t>
      </w:r>
      <w:bookmarkStart w:id="0" w:name="_GoBack"/>
      <w:bookmarkEnd w:id="0"/>
      <w:r w:rsidR="005B301E">
        <w:t>「安くなくても買ってもらえる本当に良いもの」となるかどうか。これに、今回の「</w:t>
      </w:r>
      <w:r w:rsidR="005B301E">
        <w:t>円安誘導策</w:t>
      </w:r>
      <w:r w:rsidR="005B301E">
        <w:t>」の成否はかかっている。</w:t>
      </w:r>
    </w:p>
    <w:p w:rsidR="009F6DAF" w:rsidRDefault="003006FD" w:rsidP="003006FD">
      <w:pPr>
        <w:ind w:firstLineChars="100" w:firstLine="210"/>
      </w:pPr>
      <w:r w:rsidRPr="00123B57">
        <w:rPr>
          <w:rFonts w:hint="eastAsia"/>
        </w:rPr>
        <w:t>上手くいくかどうか、本コラム読者は、私の意見はお見通しだろう</w:t>
      </w:r>
      <w:r>
        <w:rPr>
          <w:rFonts w:hint="eastAsia"/>
        </w:rPr>
        <w:t>。ここはただ、この円安誘導策が如何に「劇薬」であるのかをお見せする。即ち、</w:t>
      </w:r>
      <w:r w:rsidR="00123B57">
        <w:rPr>
          <w:rFonts w:hint="eastAsia"/>
        </w:rPr>
        <w:t>報じられた</w:t>
      </w:r>
      <w:r>
        <w:rPr>
          <w:rFonts w:hint="eastAsia"/>
        </w:rPr>
        <w:t>「</w:t>
      </w:r>
      <w:r>
        <w:rPr>
          <w:rFonts w:hint="eastAsia"/>
        </w:rPr>
        <w:t>GDP</w:t>
      </w:r>
      <w:r>
        <w:rPr>
          <w:rFonts w:hint="eastAsia"/>
        </w:rPr>
        <w:t>上方修正」とは裏腹に、ドルで見れば</w:t>
      </w:r>
      <w:hyperlink r:id="rId9" w:history="1">
        <w:r w:rsidRPr="003006FD">
          <w:rPr>
            <w:rStyle w:val="a3"/>
            <w:rFonts w:hint="eastAsia"/>
          </w:rPr>
          <w:t>コラム１２５</w:t>
        </w:r>
      </w:hyperlink>
      <w:r>
        <w:rPr>
          <w:rFonts w:hint="eastAsia"/>
        </w:rPr>
        <w:t>でもお見せした様に、「</w:t>
      </w:r>
      <w:r>
        <w:rPr>
          <w:rFonts w:hint="eastAsia"/>
        </w:rPr>
        <w:t>GDP</w:t>
      </w:r>
      <w:r>
        <w:rPr>
          <w:rFonts w:hint="eastAsia"/>
        </w:rPr>
        <w:t>急降下」が起こってい</w:t>
      </w:r>
      <w:r w:rsidR="00123B57">
        <w:rPr>
          <w:noProof/>
        </w:rPr>
        <w:drawing>
          <wp:inline distT="0" distB="0" distL="0" distR="0" wp14:anchorId="7B23C725" wp14:editId="448EBDCA">
            <wp:extent cx="5400040" cy="3526790"/>
            <wp:effectExtent l="0" t="0" r="10160" b="165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hint="eastAsia"/>
        </w:rPr>
        <w:t>ることを再度確認しておこう。</w:t>
      </w:r>
      <w:r w:rsidR="00123B57">
        <w:rPr>
          <w:rFonts w:hint="eastAsia"/>
        </w:rPr>
        <w:t xml:space="preserve">　　　　　　　　　　今週は以上。来週も請うご期待。</w:t>
      </w:r>
    </w:p>
    <w:sectPr w:rsidR="009F6DAF">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A27" w:rsidRDefault="00113A27" w:rsidP="0077765C">
      <w:r>
        <w:separator/>
      </w:r>
    </w:p>
  </w:endnote>
  <w:endnote w:type="continuationSeparator" w:id="0">
    <w:p w:rsidR="00113A27" w:rsidRDefault="00113A27" w:rsidP="0077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685687"/>
      <w:docPartObj>
        <w:docPartGallery w:val="Page Numbers (Bottom of Page)"/>
        <w:docPartUnique/>
      </w:docPartObj>
    </w:sdtPr>
    <w:sdtContent>
      <w:p w:rsidR="00123B57" w:rsidRDefault="00123B57">
        <w:pPr>
          <w:pStyle w:val="a9"/>
          <w:jc w:val="center"/>
        </w:pPr>
        <w:r>
          <w:fldChar w:fldCharType="begin"/>
        </w:r>
        <w:r>
          <w:instrText>PAGE   \* MERGEFORMAT</w:instrText>
        </w:r>
        <w:r>
          <w:fldChar w:fldCharType="separate"/>
        </w:r>
        <w:r w:rsidRPr="00123B57">
          <w:rPr>
            <w:noProof/>
            <w:lang w:val="ja-JP"/>
          </w:rPr>
          <w:t>1</w:t>
        </w:r>
        <w:r>
          <w:fldChar w:fldCharType="end"/>
        </w:r>
      </w:p>
    </w:sdtContent>
  </w:sdt>
  <w:p w:rsidR="00123B57" w:rsidRDefault="00123B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A27" w:rsidRDefault="00113A27" w:rsidP="0077765C">
      <w:r>
        <w:separator/>
      </w:r>
    </w:p>
  </w:footnote>
  <w:footnote w:type="continuationSeparator" w:id="0">
    <w:p w:rsidR="00113A27" w:rsidRDefault="00113A27" w:rsidP="00777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5C"/>
    <w:rsid w:val="00113A27"/>
    <w:rsid w:val="00123B57"/>
    <w:rsid w:val="003006FD"/>
    <w:rsid w:val="0059126C"/>
    <w:rsid w:val="005B301E"/>
    <w:rsid w:val="0077765C"/>
    <w:rsid w:val="009F6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7C1685-EAC5-40CF-BA9A-DB0EF441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5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7765C"/>
    <w:rPr>
      <w:color w:val="0563C1"/>
      <w:u w:val="single"/>
    </w:rPr>
  </w:style>
  <w:style w:type="paragraph" w:styleId="a4">
    <w:name w:val="footnote text"/>
    <w:basedOn w:val="a"/>
    <w:link w:val="a5"/>
    <w:uiPriority w:val="99"/>
    <w:semiHidden/>
    <w:unhideWhenUsed/>
    <w:rsid w:val="0077765C"/>
    <w:pPr>
      <w:snapToGrid w:val="0"/>
      <w:jc w:val="left"/>
    </w:pPr>
  </w:style>
  <w:style w:type="character" w:customStyle="1" w:styleId="a5">
    <w:name w:val="脚注文字列 (文字)"/>
    <w:basedOn w:val="a0"/>
    <w:link w:val="a4"/>
    <w:uiPriority w:val="99"/>
    <w:semiHidden/>
    <w:rsid w:val="0077765C"/>
    <w:rPr>
      <w:rFonts w:ascii="Century" w:eastAsia="ＭＳ 明朝" w:hAnsi="Century" w:cs="Times New Roman"/>
    </w:rPr>
  </w:style>
  <w:style w:type="character" w:styleId="a6">
    <w:name w:val="footnote reference"/>
    <w:uiPriority w:val="99"/>
    <w:semiHidden/>
    <w:unhideWhenUsed/>
    <w:rsid w:val="0077765C"/>
    <w:rPr>
      <w:vertAlign w:val="superscript"/>
    </w:rPr>
  </w:style>
  <w:style w:type="paragraph" w:styleId="a7">
    <w:name w:val="header"/>
    <w:basedOn w:val="a"/>
    <w:link w:val="a8"/>
    <w:uiPriority w:val="99"/>
    <w:unhideWhenUsed/>
    <w:rsid w:val="00123B57"/>
    <w:pPr>
      <w:tabs>
        <w:tab w:val="center" w:pos="4252"/>
        <w:tab w:val="right" w:pos="8504"/>
      </w:tabs>
      <w:snapToGrid w:val="0"/>
    </w:pPr>
  </w:style>
  <w:style w:type="character" w:customStyle="1" w:styleId="a8">
    <w:name w:val="ヘッダー (文字)"/>
    <w:basedOn w:val="a0"/>
    <w:link w:val="a7"/>
    <w:uiPriority w:val="99"/>
    <w:rsid w:val="00123B57"/>
    <w:rPr>
      <w:rFonts w:ascii="Century" w:eastAsia="ＭＳ 明朝" w:hAnsi="Century" w:cs="Times New Roman"/>
    </w:rPr>
  </w:style>
  <w:style w:type="paragraph" w:styleId="a9">
    <w:name w:val="footer"/>
    <w:basedOn w:val="a"/>
    <w:link w:val="aa"/>
    <w:uiPriority w:val="99"/>
    <w:unhideWhenUsed/>
    <w:rsid w:val="00123B57"/>
    <w:pPr>
      <w:tabs>
        <w:tab w:val="center" w:pos="4252"/>
        <w:tab w:val="right" w:pos="8504"/>
      </w:tabs>
      <w:snapToGrid w:val="0"/>
    </w:pPr>
  </w:style>
  <w:style w:type="character" w:customStyle="1" w:styleId="aa">
    <w:name w:val="フッター (文字)"/>
    <w:basedOn w:val="a0"/>
    <w:link w:val="a9"/>
    <w:uiPriority w:val="99"/>
    <w:rsid w:val="00123B5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upload/economic_justice_for_al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llc.ip.rcast.u-tokyo.ac.jp/Column%20hobo-shuukan/2014/20141225%20W125%20Shoup%20Mission/20141225%20W125%20Shoup%20Mission%20rev1.doc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Flash_M\WORDDOC\&#25237;&#26360;\LLC&#25991;&#29486;\GDP\&#21517;&#30446;GDP(US&#12489;&#12523;&#65289;&#12398;&#25512;&#31227;&#65288;198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ja-JP" altLang="en-US"/>
              <a:t>米中日独　名目</a:t>
            </a:r>
            <a:r>
              <a:rPr lang="en-US" altLang="ja-JP"/>
              <a:t>GDP</a:t>
            </a:r>
            <a:r>
              <a:rPr lang="ja-JP" altLang="en-US"/>
              <a:t>（兆ドル）　</a:t>
            </a:r>
            <a:r>
              <a:rPr lang="en-US" altLang="ja-JP"/>
              <a:t>1980-2014</a:t>
            </a:r>
          </a:p>
        </c:rich>
      </c:tx>
      <c:overlay val="0"/>
    </c:title>
    <c:autoTitleDeleted val="0"/>
    <c:plotArea>
      <c:layout/>
      <c:lineChart>
        <c:grouping val="standard"/>
        <c:varyColors val="0"/>
        <c:ser>
          <c:idx val="1"/>
          <c:order val="0"/>
          <c:tx>
            <c:strRef>
              <c:f>Sheet1!$A$45</c:f>
              <c:strCache>
                <c:ptCount val="1"/>
                <c:pt idx="0">
                  <c:v>米国</c:v>
                </c:pt>
              </c:strCache>
            </c:strRef>
          </c:tx>
          <c:spPr>
            <a:ln>
              <a:prstDash val="lgDash"/>
            </a:ln>
          </c:spPr>
          <c:marker>
            <c:symbol val="none"/>
          </c:marker>
          <c:cat>
            <c:strRef>
              <c:f>(Sheet1!$B$40:$AI$40,Sheet1!$AJ$40)</c:f>
              <c:strCach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strCache>
            </c:strRef>
          </c:cat>
          <c:val>
            <c:numRef>
              <c:f>(Sheet1!$B$45:$AI$45,Sheet1!$AJ$45)</c:f>
              <c:numCache>
                <c:formatCode>0.00_ </c:formatCode>
                <c:ptCount val="35"/>
                <c:pt idx="0">
                  <c:v>2.8624749999999999</c:v>
                </c:pt>
                <c:pt idx="1">
                  <c:v>3.21095</c:v>
                </c:pt>
                <c:pt idx="2">
                  <c:v>3.3450000000000002</c:v>
                </c:pt>
                <c:pt idx="3">
                  <c:v>3.6381250000000001</c:v>
                </c:pt>
                <c:pt idx="4">
                  <c:v>4.0407000000000002</c:v>
                </c:pt>
                <c:pt idx="5">
                  <c:v>4.3467500000000001</c:v>
                </c:pt>
                <c:pt idx="6">
                  <c:v>4.5901249999999996</c:v>
                </c:pt>
                <c:pt idx="7">
                  <c:v>4.8702250000000005</c:v>
                </c:pt>
                <c:pt idx="8">
                  <c:v>5.2526250000000001</c:v>
                </c:pt>
                <c:pt idx="9">
                  <c:v>5.6577000000000002</c:v>
                </c:pt>
                <c:pt idx="10">
                  <c:v>5.9795749999999996</c:v>
                </c:pt>
                <c:pt idx="11">
                  <c:v>6.1740500000000003</c:v>
                </c:pt>
                <c:pt idx="12">
                  <c:v>6.5392999999999999</c:v>
                </c:pt>
                <c:pt idx="13">
                  <c:v>6.8787000000000003</c:v>
                </c:pt>
                <c:pt idx="14">
                  <c:v>7.3087749999999998</c:v>
                </c:pt>
                <c:pt idx="15">
                  <c:v>7.6640500000000005</c:v>
                </c:pt>
                <c:pt idx="16">
                  <c:v>8.1001750000000001</c:v>
                </c:pt>
                <c:pt idx="17">
                  <c:v>8.6085250000000002</c:v>
                </c:pt>
                <c:pt idx="18">
                  <c:v>9.0891500000000001</c:v>
                </c:pt>
                <c:pt idx="19">
                  <c:v>9.6606249999999996</c:v>
                </c:pt>
                <c:pt idx="20">
                  <c:v>10.284750000000001</c:v>
                </c:pt>
                <c:pt idx="21">
                  <c:v>10.621825000000001</c:v>
                </c:pt>
                <c:pt idx="22">
                  <c:v>10.977525</c:v>
                </c:pt>
                <c:pt idx="23">
                  <c:v>11.510674999999999</c:v>
                </c:pt>
                <c:pt idx="24">
                  <c:v>12.274925</c:v>
                </c:pt>
                <c:pt idx="25">
                  <c:v>13.0937</c:v>
                </c:pt>
                <c:pt idx="26">
                  <c:v>13.8559</c:v>
                </c:pt>
                <c:pt idx="27">
                  <c:v>14.477625</c:v>
                </c:pt>
                <c:pt idx="28">
                  <c:v>14.718575000000001</c:v>
                </c:pt>
                <c:pt idx="29">
                  <c:v>14.418725</c:v>
                </c:pt>
                <c:pt idx="30">
                  <c:v>14.964399999999999</c:v>
                </c:pt>
                <c:pt idx="31">
                  <c:v>15.517925</c:v>
                </c:pt>
                <c:pt idx="32">
                  <c:v>16.163149999999998</c:v>
                </c:pt>
                <c:pt idx="33">
                  <c:v>16.768049999999999</c:v>
                </c:pt>
                <c:pt idx="34">
                  <c:v>17.418924999999998</c:v>
                </c:pt>
              </c:numCache>
            </c:numRef>
          </c:val>
          <c:smooth val="0"/>
        </c:ser>
        <c:ser>
          <c:idx val="3"/>
          <c:order val="1"/>
          <c:tx>
            <c:strRef>
              <c:f>Sheet1!$A$41</c:f>
              <c:strCache>
                <c:ptCount val="1"/>
                <c:pt idx="0">
                  <c:v>中国</c:v>
                </c:pt>
              </c:strCache>
            </c:strRef>
          </c:tx>
          <c:spPr>
            <a:ln>
              <a:prstDash val="sysDash"/>
            </a:ln>
          </c:spPr>
          <c:marker>
            <c:symbol val="none"/>
          </c:marker>
          <c:cat>
            <c:strRef>
              <c:f>(Sheet1!$B$40:$AI$40,Sheet1!$AJ$40)</c:f>
              <c:strCach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strCache>
            </c:strRef>
          </c:cat>
          <c:val>
            <c:numRef>
              <c:f>(Sheet1!$B$41:$AI$41,Sheet1!$AJ$41)</c:f>
              <c:numCache>
                <c:formatCode>0.00_ </c:formatCode>
                <c:ptCount val="35"/>
                <c:pt idx="0">
                  <c:v>0.30906</c:v>
                </c:pt>
                <c:pt idx="1">
                  <c:v>0.29236599999999996</c:v>
                </c:pt>
                <c:pt idx="2">
                  <c:v>0.28656099999999995</c:v>
                </c:pt>
                <c:pt idx="3">
                  <c:v>0.30746899999999999</c:v>
                </c:pt>
                <c:pt idx="4">
                  <c:v>0.31651899999999999</c:v>
                </c:pt>
                <c:pt idx="5">
                  <c:v>0.31277999999999995</c:v>
                </c:pt>
                <c:pt idx="6">
                  <c:v>0.30317700000000003</c:v>
                </c:pt>
                <c:pt idx="7">
                  <c:v>0.33005499999999999</c:v>
                </c:pt>
                <c:pt idx="8">
                  <c:v>0.41173599999999999</c:v>
                </c:pt>
                <c:pt idx="9">
                  <c:v>0.459783</c:v>
                </c:pt>
                <c:pt idx="10">
                  <c:v>0.40449499999999999</c:v>
                </c:pt>
                <c:pt idx="11">
                  <c:v>0.42411599999999999</c:v>
                </c:pt>
                <c:pt idx="12">
                  <c:v>0.499859</c:v>
                </c:pt>
                <c:pt idx="13">
                  <c:v>0.64106399999999997</c:v>
                </c:pt>
                <c:pt idx="14">
                  <c:v>0.582673</c:v>
                </c:pt>
                <c:pt idx="15">
                  <c:v>0.75696400000000008</c:v>
                </c:pt>
                <c:pt idx="16">
                  <c:v>0.89200999999999997</c:v>
                </c:pt>
                <c:pt idx="17">
                  <c:v>0.98504400000000003</c:v>
                </c:pt>
                <c:pt idx="18">
                  <c:v>1.0452000000000001</c:v>
                </c:pt>
                <c:pt idx="19">
                  <c:v>1.1007750000000001</c:v>
                </c:pt>
                <c:pt idx="20">
                  <c:v>1.1928540000000001</c:v>
                </c:pt>
                <c:pt idx="21">
                  <c:v>1.3172360000000001</c:v>
                </c:pt>
                <c:pt idx="22">
                  <c:v>1.45556</c:v>
                </c:pt>
                <c:pt idx="23">
                  <c:v>1.6505139999999998</c:v>
                </c:pt>
                <c:pt idx="24">
                  <c:v>1.944674</c:v>
                </c:pt>
                <c:pt idx="25">
                  <c:v>2.287258</c:v>
                </c:pt>
                <c:pt idx="26">
                  <c:v>2.7931590000000002</c:v>
                </c:pt>
                <c:pt idx="27">
                  <c:v>3.5046050000000002</c:v>
                </c:pt>
                <c:pt idx="28">
                  <c:v>4.5477160000000003</c:v>
                </c:pt>
                <c:pt idx="29">
                  <c:v>5.1057690000000004</c:v>
                </c:pt>
                <c:pt idx="30">
                  <c:v>5.9496479999999998</c:v>
                </c:pt>
                <c:pt idx="31">
                  <c:v>7.3144819999999999</c:v>
                </c:pt>
                <c:pt idx="32">
                  <c:v>8.3866779999999999</c:v>
                </c:pt>
                <c:pt idx="33">
                  <c:v>9.469125</c:v>
                </c:pt>
                <c:pt idx="34">
                  <c:v>10.380379999999999</c:v>
                </c:pt>
              </c:numCache>
            </c:numRef>
          </c:val>
          <c:smooth val="0"/>
        </c:ser>
        <c:ser>
          <c:idx val="0"/>
          <c:order val="2"/>
          <c:tx>
            <c:strRef>
              <c:f>Sheet1!$A$43</c:f>
              <c:strCache>
                <c:ptCount val="1"/>
                <c:pt idx="0">
                  <c:v>日本</c:v>
                </c:pt>
              </c:strCache>
            </c:strRef>
          </c:tx>
          <c:marker>
            <c:symbol val="none"/>
          </c:marker>
          <c:cat>
            <c:strRef>
              <c:f>(Sheet1!$B$40:$AI$40,Sheet1!$AJ$40)</c:f>
              <c:strCach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strCache>
            </c:strRef>
          </c:cat>
          <c:val>
            <c:numRef>
              <c:f>(Sheet1!$B$43:$AI$43,Sheet1!$AJ$43)</c:f>
              <c:numCache>
                <c:formatCode>0.00_ </c:formatCode>
                <c:ptCount val="35"/>
                <c:pt idx="0">
                  <c:v>1.0869880000000001</c:v>
                </c:pt>
                <c:pt idx="1">
                  <c:v>1.2014659999999999</c:v>
                </c:pt>
                <c:pt idx="2">
                  <c:v>1.116841</c:v>
                </c:pt>
                <c:pt idx="3">
                  <c:v>1.2181070000000001</c:v>
                </c:pt>
                <c:pt idx="4">
                  <c:v>1.2946089999999999</c:v>
                </c:pt>
                <c:pt idx="5">
                  <c:v>1.3845319999999999</c:v>
                </c:pt>
                <c:pt idx="6">
                  <c:v>2.0510610000000002</c:v>
                </c:pt>
                <c:pt idx="7">
                  <c:v>2.4852370000000001</c:v>
                </c:pt>
                <c:pt idx="8">
                  <c:v>3.0153939999999997</c:v>
                </c:pt>
                <c:pt idx="9">
                  <c:v>3.0170520000000001</c:v>
                </c:pt>
                <c:pt idx="10">
                  <c:v>3.1036990000000002</c:v>
                </c:pt>
                <c:pt idx="11">
                  <c:v>3.5368029999999999</c:v>
                </c:pt>
                <c:pt idx="12">
                  <c:v>3.8527939999999998</c:v>
                </c:pt>
                <c:pt idx="13">
                  <c:v>4.4149640000000003</c:v>
                </c:pt>
                <c:pt idx="14">
                  <c:v>4.8503490000000005</c:v>
                </c:pt>
                <c:pt idx="15">
                  <c:v>5.3339270000000001</c:v>
                </c:pt>
                <c:pt idx="16">
                  <c:v>4.7061890000000002</c:v>
                </c:pt>
                <c:pt idx="17">
                  <c:v>4.3242790000000007</c:v>
                </c:pt>
                <c:pt idx="18">
                  <c:v>3.9145749999999997</c:v>
                </c:pt>
                <c:pt idx="19">
                  <c:v>4.4325979999999996</c:v>
                </c:pt>
                <c:pt idx="20">
                  <c:v>4.7311989999999993</c:v>
                </c:pt>
                <c:pt idx="21">
                  <c:v>4.159859</c:v>
                </c:pt>
                <c:pt idx="22">
                  <c:v>3.9808189999999999</c:v>
                </c:pt>
                <c:pt idx="23">
                  <c:v>4.3029399999999995</c:v>
                </c:pt>
                <c:pt idx="24">
                  <c:v>4.6558230000000007</c:v>
                </c:pt>
                <c:pt idx="25">
                  <c:v>4.5718670000000001</c:v>
                </c:pt>
                <c:pt idx="26">
                  <c:v>4.3567499999999999</c:v>
                </c:pt>
                <c:pt idx="27">
                  <c:v>4.3563469999999995</c:v>
                </c:pt>
                <c:pt idx="28">
                  <c:v>4.8491850000000003</c:v>
                </c:pt>
                <c:pt idx="29">
                  <c:v>5.0351409999999994</c:v>
                </c:pt>
                <c:pt idx="30">
                  <c:v>5.495387</c:v>
                </c:pt>
                <c:pt idx="31">
                  <c:v>5.9056310000000005</c:v>
                </c:pt>
                <c:pt idx="32">
                  <c:v>5.9544750000000004</c:v>
                </c:pt>
                <c:pt idx="33">
                  <c:v>4.9195640000000003</c:v>
                </c:pt>
                <c:pt idx="34">
                  <c:v>4.6163350000000003</c:v>
                </c:pt>
              </c:numCache>
            </c:numRef>
          </c:val>
          <c:smooth val="0"/>
        </c:ser>
        <c:ser>
          <c:idx val="4"/>
          <c:order val="3"/>
          <c:tx>
            <c:strRef>
              <c:f>Sheet1!$A$42</c:f>
              <c:strCache>
                <c:ptCount val="1"/>
                <c:pt idx="0">
                  <c:v>ドイツ</c:v>
                </c:pt>
              </c:strCache>
            </c:strRef>
          </c:tx>
          <c:spPr>
            <a:ln>
              <a:prstDash val="sysDot"/>
            </a:ln>
          </c:spPr>
          <c:marker>
            <c:symbol val="none"/>
          </c:marker>
          <c:cat>
            <c:strRef>
              <c:f>(Sheet1!$B$40:$AI$40,Sheet1!$AJ$40)</c:f>
              <c:strCache>
                <c:ptCount val="35"/>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strCache>
            </c:strRef>
          </c:cat>
          <c:val>
            <c:numRef>
              <c:f>(Sheet1!$B$42:$AI$42,Sheet1!$AJ$42)</c:f>
              <c:numCache>
                <c:formatCode>0.00_ </c:formatCode>
                <c:ptCount val="35"/>
                <c:pt idx="0">
                  <c:v>0.849657</c:v>
                </c:pt>
                <c:pt idx="1">
                  <c:v>0.71485799999999999</c:v>
                </c:pt>
                <c:pt idx="2">
                  <c:v>0.69025900000000007</c:v>
                </c:pt>
                <c:pt idx="3">
                  <c:v>0.68863199999999991</c:v>
                </c:pt>
                <c:pt idx="4">
                  <c:v>0.64880899999999997</c:v>
                </c:pt>
                <c:pt idx="5">
                  <c:v>0.65790300000000002</c:v>
                </c:pt>
                <c:pt idx="6">
                  <c:v>0.93964700000000001</c:v>
                </c:pt>
                <c:pt idx="7">
                  <c:v>1.1692899999999999</c:v>
                </c:pt>
                <c:pt idx="8">
                  <c:v>1.2606169999999999</c:v>
                </c:pt>
                <c:pt idx="9">
                  <c:v>1.251431</c:v>
                </c:pt>
                <c:pt idx="10">
                  <c:v>1.5910599999999999</c:v>
                </c:pt>
                <c:pt idx="11">
                  <c:v>1.866725</c:v>
                </c:pt>
                <c:pt idx="12">
                  <c:v>2.1278539999999997</c:v>
                </c:pt>
                <c:pt idx="13">
                  <c:v>2.0696880000000002</c:v>
                </c:pt>
                <c:pt idx="14">
                  <c:v>2.2108290000000004</c:v>
                </c:pt>
                <c:pt idx="15">
                  <c:v>2.5927150000000001</c:v>
                </c:pt>
                <c:pt idx="16">
                  <c:v>2.5024430000000004</c:v>
                </c:pt>
                <c:pt idx="17">
                  <c:v>2.2186469999999998</c:v>
                </c:pt>
                <c:pt idx="18">
                  <c:v>2.2429899999999998</c:v>
                </c:pt>
                <c:pt idx="19">
                  <c:v>2.19957</c:v>
                </c:pt>
                <c:pt idx="20">
                  <c:v>1.95292</c:v>
                </c:pt>
                <c:pt idx="21">
                  <c:v>1.9496020000000001</c:v>
                </c:pt>
                <c:pt idx="22">
                  <c:v>2.083653</c:v>
                </c:pt>
                <c:pt idx="23">
                  <c:v>2.507101</c:v>
                </c:pt>
                <c:pt idx="24">
                  <c:v>2.8192919999999999</c:v>
                </c:pt>
                <c:pt idx="25">
                  <c:v>2.8625210000000001</c:v>
                </c:pt>
                <c:pt idx="26">
                  <c:v>3.0012510000000003</c:v>
                </c:pt>
                <c:pt idx="27">
                  <c:v>3.4404460000000001</c:v>
                </c:pt>
                <c:pt idx="28">
                  <c:v>3.764675</c:v>
                </c:pt>
                <c:pt idx="29">
                  <c:v>3.4216299999999999</c:v>
                </c:pt>
                <c:pt idx="30">
                  <c:v>3.418371</c:v>
                </c:pt>
                <c:pt idx="31">
                  <c:v>3.7555489999999998</c:v>
                </c:pt>
                <c:pt idx="32">
                  <c:v>3.535199</c:v>
                </c:pt>
                <c:pt idx="33">
                  <c:v>3.731427</c:v>
                </c:pt>
                <c:pt idx="34">
                  <c:v>3.8595470000000001</c:v>
                </c:pt>
              </c:numCache>
            </c:numRef>
          </c:val>
          <c:smooth val="0"/>
        </c:ser>
        <c:dLbls>
          <c:showLegendKey val="0"/>
          <c:showVal val="0"/>
          <c:showCatName val="0"/>
          <c:showSerName val="0"/>
          <c:showPercent val="0"/>
          <c:showBubbleSize val="0"/>
        </c:dLbls>
        <c:smooth val="0"/>
        <c:axId val="615322760"/>
        <c:axId val="615319624"/>
      </c:lineChart>
      <c:catAx>
        <c:axId val="615322760"/>
        <c:scaling>
          <c:orientation val="minMax"/>
        </c:scaling>
        <c:delete val="0"/>
        <c:axPos val="b"/>
        <c:numFmt formatCode="General" sourceLinked="1"/>
        <c:majorTickMark val="out"/>
        <c:minorTickMark val="none"/>
        <c:tickLblPos val="nextTo"/>
        <c:crossAx val="615319624"/>
        <c:crosses val="autoZero"/>
        <c:auto val="1"/>
        <c:lblAlgn val="ctr"/>
        <c:lblOffset val="100"/>
        <c:tickLblSkip val="5"/>
        <c:noMultiLvlLbl val="0"/>
      </c:catAx>
      <c:valAx>
        <c:axId val="615319624"/>
        <c:scaling>
          <c:orientation val="minMax"/>
        </c:scaling>
        <c:delete val="0"/>
        <c:axPos val="l"/>
        <c:majorGridlines/>
        <c:title>
          <c:tx>
            <c:rich>
              <a:bodyPr/>
              <a:lstStyle/>
              <a:p>
                <a:pPr>
                  <a:defRPr/>
                </a:pPr>
                <a:r>
                  <a:rPr lang="ja-JP" altLang="en-US"/>
                  <a:t>名目</a:t>
                </a:r>
                <a:r>
                  <a:rPr lang="en-US" altLang="ja-JP"/>
                  <a:t>GDP</a:t>
                </a:r>
                <a:r>
                  <a:rPr lang="ja-JP" altLang="en-US"/>
                  <a:t>（兆ドル）</a:t>
                </a:r>
              </a:p>
            </c:rich>
          </c:tx>
          <c:overlay val="0"/>
        </c:title>
        <c:numFmt formatCode="0.00_ " sourceLinked="1"/>
        <c:majorTickMark val="none"/>
        <c:minorTickMark val="none"/>
        <c:tickLblPos val="nextTo"/>
        <c:crossAx val="61532276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0.28164</cdr:x>
      <cdr:y>0.09053</cdr:y>
    </cdr:from>
    <cdr:to>
      <cdr:x>0.73705</cdr:x>
      <cdr:y>0.14854</cdr:y>
    </cdr:to>
    <cdr:sp macro="" textlink="">
      <cdr:nvSpPr>
        <cdr:cNvPr id="2" name="テキスト ボックス 1"/>
        <cdr:cNvSpPr txBox="1"/>
      </cdr:nvSpPr>
      <cdr:spPr>
        <a:xfrm xmlns:a="http://schemas.openxmlformats.org/drawingml/2006/main">
          <a:off x="1520855" y="319270"/>
          <a:ext cx="2459232" cy="20460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ja-JP" altLang="en-US" sz="1100"/>
            <a:t>出典：</a:t>
          </a:r>
          <a:r>
            <a:rPr lang="en-US" altLang="ja-JP" sz="1100"/>
            <a:t>IMF World Economic Outlook Database List</a:t>
          </a:r>
          <a:r>
            <a:rPr lang="ja-JP" altLang="en-US" sz="1100"/>
            <a:t>　</a:t>
          </a:r>
          <a:r>
            <a:rPr lang="en-US" altLang="ja-JP" sz="1100"/>
            <a:t> </a:t>
          </a:r>
          <a:r>
            <a:rPr lang="ja-JP" altLang="en-US" sz="1100"/>
            <a:t>作製：</a:t>
          </a:r>
          <a:r>
            <a:rPr lang="en-US" altLang="ja-JP" sz="1100"/>
            <a:t>2015.06.12</a:t>
          </a:r>
        </a:p>
        <a:p xmlns:a="http://schemas.openxmlformats.org/drawingml/2006/main">
          <a:pPr algn="ctr"/>
          <a:r>
            <a:rPr lang="en-US" altLang="ja-JP" sz="1100"/>
            <a:t> </a:t>
          </a:r>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B4D8-C6C3-445C-BBBD-160D81D3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Saito</dc:creator>
  <cp:keywords/>
  <dc:description/>
  <cp:lastModifiedBy>Jun Saito</cp:lastModifiedBy>
  <cp:revision>1</cp:revision>
  <dcterms:created xsi:type="dcterms:W3CDTF">2015-06-12T06:37:00Z</dcterms:created>
  <dcterms:modified xsi:type="dcterms:W3CDTF">2015-06-12T07:30:00Z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